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67F" w:rsidRPr="002175F1" w:rsidRDefault="0035767F" w:rsidP="0035767F">
      <w:pPr>
        <w:tabs>
          <w:tab w:val="left" w:pos="4253"/>
        </w:tabs>
        <w:spacing w:after="0" w:line="240" w:lineRule="auto"/>
        <w:rPr>
          <w:rFonts w:eastAsia="Times New Roman" w:cs="Times New Roman"/>
          <w:lang w:eastAsia="it-IT"/>
        </w:rPr>
      </w:pPr>
    </w:p>
    <w:tbl>
      <w:tblPr>
        <w:tblStyle w:val="Grigliatabel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80"/>
      </w:tblGrid>
      <w:tr w:rsidR="0035767F" w:rsidTr="00D76A69">
        <w:tc>
          <w:tcPr>
            <w:tcW w:w="4248" w:type="dxa"/>
          </w:tcPr>
          <w:p w:rsidR="0035767F" w:rsidRPr="002175F1" w:rsidRDefault="0035767F" w:rsidP="00D76A69">
            <w:pPr>
              <w:tabs>
                <w:tab w:val="left" w:pos="4253"/>
              </w:tabs>
              <w:rPr>
                <w:rFonts w:eastAsia="Times New Roman" w:cs="Times New Roman"/>
                <w:lang w:eastAsia="it-IT"/>
              </w:rPr>
            </w:pPr>
            <w:r>
              <w:rPr>
                <w:rFonts w:eastAsia="Times New Roman" w:cs="Times New Roman"/>
                <w:lang w:eastAsia="it-IT"/>
              </w:rPr>
              <w:t>Tipo di regolatore di portata:</w:t>
            </w:r>
          </w:p>
          <w:p w:rsidR="0035767F" w:rsidRDefault="0035767F" w:rsidP="00D76A69">
            <w:pPr>
              <w:tabs>
                <w:tab w:val="left" w:pos="4253"/>
              </w:tabs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380" w:type="dxa"/>
          </w:tcPr>
          <w:p w:rsidR="0035767F" w:rsidRDefault="0035767F" w:rsidP="00D76A69">
            <w:pPr>
              <w:tabs>
                <w:tab w:val="left" w:pos="4253"/>
              </w:tabs>
              <w:rPr>
                <w:rFonts w:eastAsia="Times New Roman" w:cs="Times New Roman"/>
                <w:lang w:eastAsia="it-IT"/>
              </w:rPr>
            </w:pPr>
            <w:r w:rsidRPr="002175F1">
              <w:rPr>
                <w:rFonts w:eastAsia="Times New Roman" w:cs="Times New Roman"/>
                <w:lang w:eastAsia="it-IT"/>
              </w:rPr>
              <w:t>CEV</w:t>
            </w:r>
          </w:p>
        </w:tc>
      </w:tr>
      <w:tr w:rsidR="0035767F" w:rsidTr="00D76A69">
        <w:tc>
          <w:tcPr>
            <w:tcW w:w="4248" w:type="dxa"/>
          </w:tcPr>
          <w:p w:rsidR="0035767F" w:rsidRDefault="0035767F" w:rsidP="00D76A69">
            <w:pPr>
              <w:tabs>
                <w:tab w:val="left" w:pos="4253"/>
              </w:tabs>
              <w:rPr>
                <w:rFonts w:eastAsia="Times New Roman" w:cs="Times New Roman"/>
                <w:lang w:eastAsia="it-IT"/>
              </w:rPr>
            </w:pPr>
            <w:r w:rsidRPr="002175F1">
              <w:rPr>
                <w:rFonts w:eastAsia="Times New Roman" w:cs="Times New Roman"/>
                <w:lang w:eastAsia="it-IT"/>
              </w:rPr>
              <w:t>Configurazione:</w:t>
            </w:r>
          </w:p>
        </w:tc>
        <w:tc>
          <w:tcPr>
            <w:tcW w:w="5380" w:type="dxa"/>
          </w:tcPr>
          <w:p w:rsidR="0035767F" w:rsidRDefault="0035767F" w:rsidP="00D76A69">
            <w:pPr>
              <w:tabs>
                <w:tab w:val="left" w:pos="4253"/>
              </w:tabs>
              <w:rPr>
                <w:rFonts w:eastAsia="Times New Roman" w:cs="Times New Roman"/>
                <w:lang w:eastAsia="it-IT"/>
              </w:rPr>
            </w:pPr>
            <w:r w:rsidRPr="002175F1">
              <w:rPr>
                <w:rFonts w:eastAsia="Times New Roman" w:cs="Times New Roman"/>
                <w:lang w:eastAsia="it-IT"/>
              </w:rPr>
              <w:t>Deflettore in ingresso regolabile in continuo</w:t>
            </w:r>
          </w:p>
          <w:p w:rsidR="0035767F" w:rsidRDefault="0035767F" w:rsidP="00D76A69">
            <w:pPr>
              <w:tabs>
                <w:tab w:val="left" w:pos="4253"/>
              </w:tabs>
              <w:rPr>
                <w:rFonts w:eastAsia="Times New Roman" w:cs="Times New Roman"/>
                <w:lang w:eastAsia="it-IT"/>
              </w:rPr>
            </w:pPr>
            <w:r w:rsidRPr="002175F1">
              <w:rPr>
                <w:rFonts w:eastAsia="Times New Roman" w:cs="Times New Roman"/>
                <w:lang w:eastAsia="it-IT"/>
              </w:rPr>
              <w:t>Accoppiamento a cuneo</w:t>
            </w:r>
          </w:p>
          <w:p w:rsidR="0035767F" w:rsidRDefault="0035767F" w:rsidP="00D76A69">
            <w:pPr>
              <w:tabs>
                <w:tab w:val="left" w:pos="4253"/>
              </w:tabs>
              <w:rPr>
                <w:rFonts w:eastAsia="Times New Roman" w:cs="Times New Roman"/>
                <w:lang w:eastAsia="it-IT"/>
              </w:rPr>
            </w:pPr>
            <w:r w:rsidRPr="002175F1">
              <w:rPr>
                <w:rFonts w:eastAsia="Times New Roman" w:cs="Times New Roman"/>
                <w:lang w:eastAsia="it-IT"/>
              </w:rPr>
              <w:t>Piastra per fissaggio a parete</w:t>
            </w:r>
          </w:p>
          <w:p w:rsidR="0035767F" w:rsidRDefault="0035767F" w:rsidP="00D76A69">
            <w:pPr>
              <w:tabs>
                <w:tab w:val="left" w:pos="4253"/>
              </w:tabs>
              <w:rPr>
                <w:rFonts w:eastAsia="Times New Roman" w:cs="Times New Roman"/>
                <w:lang w:eastAsia="it-IT"/>
              </w:rPr>
            </w:pPr>
            <w:r w:rsidRPr="002175F1">
              <w:rPr>
                <w:rFonts w:eastAsia="Times New Roman" w:cs="Times New Roman"/>
                <w:lang w:eastAsia="it-IT"/>
              </w:rPr>
              <w:t>Asta di sollevamento</w:t>
            </w:r>
          </w:p>
          <w:p w:rsidR="0035767F" w:rsidRDefault="0035767F" w:rsidP="00D76A69">
            <w:pPr>
              <w:tabs>
                <w:tab w:val="left" w:pos="4253"/>
              </w:tabs>
              <w:rPr>
                <w:rFonts w:eastAsia="Times New Roman" w:cs="Times New Roman"/>
                <w:lang w:eastAsia="it-IT"/>
              </w:rPr>
            </w:pPr>
          </w:p>
        </w:tc>
      </w:tr>
      <w:tr w:rsidR="0035767F" w:rsidTr="00D76A69">
        <w:tc>
          <w:tcPr>
            <w:tcW w:w="4248" w:type="dxa"/>
          </w:tcPr>
          <w:p w:rsidR="0035767F" w:rsidRDefault="0035767F" w:rsidP="00D76A69">
            <w:pPr>
              <w:tabs>
                <w:tab w:val="left" w:pos="4253"/>
              </w:tabs>
              <w:rPr>
                <w:rFonts w:eastAsia="Times New Roman" w:cs="Times New Roman"/>
                <w:lang w:eastAsia="it-IT"/>
              </w:rPr>
            </w:pPr>
            <w:r w:rsidRPr="002175F1">
              <w:rPr>
                <w:rFonts w:eastAsia="Times New Roman" w:cs="Times New Roman"/>
                <w:lang w:eastAsia="it-IT"/>
              </w:rPr>
              <w:t>Variante</w:t>
            </w:r>
          </w:p>
        </w:tc>
        <w:tc>
          <w:tcPr>
            <w:tcW w:w="5380" w:type="dxa"/>
          </w:tcPr>
          <w:p w:rsidR="0035767F" w:rsidRDefault="0035767F" w:rsidP="00D76A69">
            <w:pPr>
              <w:tabs>
                <w:tab w:val="left" w:pos="4253"/>
              </w:tabs>
              <w:rPr>
                <w:rFonts w:eastAsia="Times New Roman" w:cs="Times New Roman"/>
                <w:lang w:eastAsia="it-IT"/>
              </w:rPr>
            </w:pPr>
            <w:r w:rsidRPr="002175F1">
              <w:rPr>
                <w:rFonts w:eastAsia="Times New Roman" w:cs="Times New Roman"/>
                <w:lang w:eastAsia="it-IT"/>
              </w:rPr>
              <w:t xml:space="preserve">Con chiusura </w:t>
            </w:r>
            <w:r>
              <w:rPr>
                <w:rFonts w:eastAsia="Times New Roman" w:cs="Times New Roman"/>
                <w:lang w:eastAsia="it-IT"/>
              </w:rPr>
              <w:t>idraulica</w:t>
            </w:r>
          </w:p>
          <w:p w:rsidR="0035767F" w:rsidRDefault="0035767F" w:rsidP="00D76A69">
            <w:pPr>
              <w:tabs>
                <w:tab w:val="left" w:pos="4253"/>
              </w:tabs>
              <w:rPr>
                <w:rFonts w:eastAsia="Times New Roman" w:cs="Times New Roman"/>
                <w:lang w:eastAsia="it-IT"/>
              </w:rPr>
            </w:pPr>
          </w:p>
        </w:tc>
      </w:tr>
      <w:tr w:rsidR="0035767F" w:rsidTr="00D76A69">
        <w:tc>
          <w:tcPr>
            <w:tcW w:w="4248" w:type="dxa"/>
          </w:tcPr>
          <w:p w:rsidR="0035767F" w:rsidRDefault="0035767F" w:rsidP="00D76A69">
            <w:pPr>
              <w:tabs>
                <w:tab w:val="left" w:pos="4253"/>
              </w:tabs>
              <w:rPr>
                <w:rFonts w:eastAsia="Times New Roman" w:cs="Times New Roman"/>
                <w:lang w:eastAsia="it-IT"/>
              </w:rPr>
            </w:pPr>
            <w:r w:rsidRPr="002175F1">
              <w:rPr>
                <w:rFonts w:eastAsia="Times New Roman" w:cs="Times New Roman"/>
                <w:lang w:eastAsia="it-IT"/>
              </w:rPr>
              <w:t>Designazione del prodotto</w:t>
            </w:r>
          </w:p>
        </w:tc>
        <w:tc>
          <w:tcPr>
            <w:tcW w:w="5380" w:type="dxa"/>
          </w:tcPr>
          <w:p w:rsidR="0035767F" w:rsidRDefault="0035767F" w:rsidP="00D76A69">
            <w:pPr>
              <w:tabs>
                <w:tab w:val="left" w:pos="4253"/>
              </w:tabs>
              <w:rPr>
                <w:rFonts w:eastAsia="Times New Roman" w:cs="Times New Roman"/>
                <w:lang w:eastAsia="it-IT"/>
              </w:rPr>
            </w:pPr>
            <w:r w:rsidRPr="002175F1">
              <w:rPr>
                <w:rFonts w:eastAsia="Times New Roman" w:cs="Times New Roman"/>
                <w:lang w:eastAsia="it-IT"/>
              </w:rPr>
              <w:t>CEV KPS</w:t>
            </w:r>
            <w:r w:rsidRPr="002175F1">
              <w:rPr>
                <w:rFonts w:eastAsia="Times New Roman" w:cs="Times New Roman"/>
                <w:lang w:eastAsia="it-IT"/>
              </w:rPr>
              <w:tab/>
            </w:r>
          </w:p>
        </w:tc>
      </w:tr>
    </w:tbl>
    <w:p w:rsidR="0035767F" w:rsidRPr="002175F1" w:rsidRDefault="0035767F" w:rsidP="0035767F">
      <w:pPr>
        <w:spacing w:after="0" w:line="240" w:lineRule="auto"/>
        <w:rPr>
          <w:rFonts w:eastAsia="Times New Roman" w:cs="Times New Roman"/>
          <w:lang w:eastAsia="it-IT"/>
        </w:rPr>
      </w:pPr>
    </w:p>
    <w:p w:rsidR="0035767F" w:rsidRDefault="0035767F" w:rsidP="0035767F">
      <w:pPr>
        <w:spacing w:after="0" w:line="240" w:lineRule="auto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>Quelli elencati di seguito sono i requisiti funzionali che soddisfa il regolatore di portata CEV di</w:t>
      </w:r>
      <w:r w:rsidRPr="00B63F3F">
        <w:rPr>
          <w:rFonts w:eastAsia="Times New Roman" w:cs="Times New Roman"/>
          <w:lang w:eastAsia="it-IT"/>
        </w:rPr>
        <w:t xml:space="preserve"> </w:t>
      </w:r>
      <w:proofErr w:type="spellStart"/>
      <w:r w:rsidRPr="00B63F3F">
        <w:rPr>
          <w:rFonts w:eastAsia="Times New Roman" w:cs="Times New Roman"/>
          <w:lang w:eastAsia="it-IT"/>
        </w:rPr>
        <w:t>Mosbaek</w:t>
      </w:r>
      <w:proofErr w:type="spellEnd"/>
      <w:r w:rsidRPr="00B63F3F">
        <w:rPr>
          <w:rFonts w:eastAsia="Times New Roman" w:cs="Times New Roman"/>
          <w:lang w:eastAsia="it-IT"/>
        </w:rPr>
        <w:t xml:space="preserve"> che </w:t>
      </w:r>
      <w:r>
        <w:rPr>
          <w:rFonts w:eastAsia="Times New Roman" w:cs="Times New Roman"/>
          <w:lang w:eastAsia="it-IT"/>
        </w:rPr>
        <w:t xml:space="preserve">quindi </w:t>
      </w:r>
      <w:r w:rsidRPr="00B63F3F">
        <w:rPr>
          <w:rFonts w:eastAsia="Times New Roman" w:cs="Times New Roman"/>
          <w:lang w:eastAsia="it-IT"/>
        </w:rPr>
        <w:t xml:space="preserve">possono essere introdotti nelle prescrizioni di </w:t>
      </w:r>
      <w:r>
        <w:rPr>
          <w:rFonts w:eastAsia="Times New Roman" w:cs="Times New Roman"/>
          <w:lang w:eastAsia="it-IT"/>
        </w:rPr>
        <w:t>capitolato</w:t>
      </w:r>
    </w:p>
    <w:p w:rsidR="0035767F" w:rsidRPr="00B63F3F" w:rsidRDefault="0035767F" w:rsidP="0035767F">
      <w:pPr>
        <w:spacing w:after="0" w:line="240" w:lineRule="auto"/>
        <w:rPr>
          <w:rFonts w:eastAsia="Times New Roman" w:cs="Times New Roman"/>
          <w:lang w:eastAsia="it-IT"/>
        </w:rPr>
      </w:pPr>
    </w:p>
    <w:p w:rsidR="0035767F" w:rsidRPr="00B63F3F" w:rsidRDefault="0035767F" w:rsidP="0035767F">
      <w:pPr>
        <w:pStyle w:val="Paragrafoelenco"/>
        <w:numPr>
          <w:ilvl w:val="0"/>
          <w:numId w:val="1"/>
        </w:numPr>
        <w:spacing w:after="0" w:line="240" w:lineRule="auto"/>
        <w:rPr>
          <w:rFonts w:eastAsia="Times New Roman" w:cs="Times New Roman"/>
          <w:lang w:eastAsia="it-IT"/>
        </w:rPr>
      </w:pPr>
      <w:r w:rsidRPr="00B63F3F">
        <w:rPr>
          <w:rFonts w:eastAsia="Times New Roman" w:cs="Times New Roman"/>
          <w:lang w:eastAsia="it-IT"/>
        </w:rPr>
        <w:t>Deve essere verificato nell'ambito del programma EU-ETV</w:t>
      </w:r>
    </w:p>
    <w:p w:rsidR="0035767F" w:rsidRPr="00B63F3F" w:rsidRDefault="0035767F" w:rsidP="0035767F">
      <w:pPr>
        <w:pStyle w:val="Paragrafoelenco"/>
        <w:numPr>
          <w:ilvl w:val="0"/>
          <w:numId w:val="1"/>
        </w:numPr>
        <w:spacing w:after="0" w:line="240" w:lineRule="auto"/>
        <w:rPr>
          <w:rFonts w:eastAsia="Times New Roman" w:cs="Times New Roman"/>
          <w:lang w:eastAsia="it-IT"/>
        </w:rPr>
      </w:pPr>
      <w:r w:rsidRPr="00B63F3F">
        <w:rPr>
          <w:rFonts w:eastAsia="Times New Roman" w:cs="Times New Roman"/>
          <w:lang w:eastAsia="it-IT"/>
        </w:rPr>
        <w:t>Deve essere marcato CE</w:t>
      </w:r>
    </w:p>
    <w:p w:rsidR="0035767F" w:rsidRPr="00B63F3F" w:rsidRDefault="0035767F" w:rsidP="0035767F">
      <w:pPr>
        <w:pStyle w:val="Paragrafoelenco"/>
        <w:numPr>
          <w:ilvl w:val="0"/>
          <w:numId w:val="1"/>
        </w:numPr>
        <w:spacing w:after="0" w:line="240" w:lineRule="auto"/>
        <w:rPr>
          <w:rFonts w:eastAsia="Times New Roman" w:cs="Times New Roman"/>
          <w:lang w:eastAsia="it-IT"/>
        </w:rPr>
      </w:pPr>
      <w:r w:rsidRPr="00B63F3F">
        <w:rPr>
          <w:rFonts w:eastAsia="Times New Roman" w:cs="Times New Roman"/>
          <w:lang w:eastAsia="it-IT"/>
        </w:rPr>
        <w:t xml:space="preserve">Deve avere un'apertura di ingresso regolabile in continuo con una lama su cui è indicata l'impostazione corretta. </w:t>
      </w:r>
    </w:p>
    <w:p w:rsidR="0035767F" w:rsidRPr="00B63F3F" w:rsidRDefault="0035767F" w:rsidP="0035767F">
      <w:pPr>
        <w:pStyle w:val="Paragrafoelenco"/>
        <w:numPr>
          <w:ilvl w:val="0"/>
          <w:numId w:val="1"/>
        </w:numPr>
        <w:spacing w:after="0" w:line="240" w:lineRule="auto"/>
        <w:rPr>
          <w:rFonts w:eastAsia="Times New Roman" w:cs="Times New Roman"/>
          <w:lang w:eastAsia="it-IT"/>
        </w:rPr>
      </w:pPr>
      <w:r w:rsidRPr="00B63F3F">
        <w:rPr>
          <w:rFonts w:eastAsia="Times New Roman" w:cs="Times New Roman"/>
          <w:lang w:eastAsia="it-IT"/>
        </w:rPr>
        <w:t xml:space="preserve">Deve essere montato su </w:t>
      </w:r>
      <w:r>
        <w:rPr>
          <w:rFonts w:eastAsia="Times New Roman" w:cs="Times New Roman"/>
          <w:lang w:eastAsia="it-IT"/>
        </w:rPr>
        <w:t>slitta</w:t>
      </w:r>
      <w:r w:rsidRPr="00B63F3F">
        <w:rPr>
          <w:rFonts w:eastAsia="Times New Roman" w:cs="Times New Roman"/>
          <w:lang w:eastAsia="it-IT"/>
        </w:rPr>
        <w:t xml:space="preserve"> a cuneo per il montaggio e lo smontaggio dal piano di manovra.</w:t>
      </w:r>
    </w:p>
    <w:p w:rsidR="0035767F" w:rsidRPr="00B63F3F" w:rsidRDefault="0035767F" w:rsidP="0035767F">
      <w:pPr>
        <w:pStyle w:val="Paragrafoelenco"/>
        <w:numPr>
          <w:ilvl w:val="0"/>
          <w:numId w:val="1"/>
        </w:numPr>
        <w:spacing w:after="0" w:line="240" w:lineRule="auto"/>
        <w:rPr>
          <w:rFonts w:eastAsia="Times New Roman" w:cs="Times New Roman"/>
          <w:lang w:eastAsia="it-IT"/>
        </w:rPr>
      </w:pPr>
      <w:r w:rsidRPr="00B63F3F">
        <w:rPr>
          <w:rFonts w:eastAsia="Times New Roman" w:cs="Times New Roman"/>
          <w:lang w:eastAsia="it-IT"/>
        </w:rPr>
        <w:t>Deve formare un sifone che impedisca il passaggio di olio e altre sostanze leggere.</w:t>
      </w:r>
    </w:p>
    <w:p w:rsidR="0035767F" w:rsidRPr="00B63F3F" w:rsidRDefault="0035767F" w:rsidP="0035767F">
      <w:pPr>
        <w:pStyle w:val="Paragrafoelenco"/>
        <w:numPr>
          <w:ilvl w:val="0"/>
          <w:numId w:val="1"/>
        </w:numPr>
        <w:spacing w:after="0" w:line="240" w:lineRule="auto"/>
        <w:rPr>
          <w:rFonts w:eastAsia="Times New Roman" w:cs="Times New Roman"/>
          <w:lang w:eastAsia="it-IT"/>
        </w:rPr>
      </w:pPr>
      <w:r w:rsidRPr="00B63F3F">
        <w:rPr>
          <w:rFonts w:eastAsia="Times New Roman" w:cs="Times New Roman"/>
          <w:lang w:eastAsia="it-IT"/>
        </w:rPr>
        <w:t xml:space="preserve">Deve avere l’ingresso dal basso in modo che sia garantita la chiusura </w:t>
      </w:r>
      <w:r>
        <w:rPr>
          <w:rFonts w:eastAsia="Times New Roman" w:cs="Times New Roman"/>
          <w:lang w:eastAsia="it-IT"/>
        </w:rPr>
        <w:t>idraulica</w:t>
      </w:r>
      <w:r w:rsidRPr="00B63F3F">
        <w:rPr>
          <w:rFonts w:eastAsia="Times New Roman" w:cs="Times New Roman"/>
          <w:lang w:eastAsia="it-IT"/>
        </w:rPr>
        <w:t xml:space="preserve"> nel punto in cui il battente sopra la bocca è il massimo possibile.</w:t>
      </w:r>
    </w:p>
    <w:p w:rsidR="0035767F" w:rsidRPr="00B63F3F" w:rsidRDefault="0035767F" w:rsidP="0035767F">
      <w:pPr>
        <w:pStyle w:val="Paragrafoelenco"/>
        <w:numPr>
          <w:ilvl w:val="0"/>
          <w:numId w:val="1"/>
        </w:numPr>
        <w:spacing w:after="0" w:line="240" w:lineRule="auto"/>
        <w:rPr>
          <w:rFonts w:eastAsia="Times New Roman" w:cs="Times New Roman"/>
          <w:lang w:eastAsia="it-IT"/>
        </w:rPr>
      </w:pPr>
      <w:r w:rsidRPr="00B63F3F">
        <w:rPr>
          <w:rFonts w:eastAsia="Times New Roman" w:cs="Times New Roman"/>
          <w:lang w:eastAsia="it-IT"/>
        </w:rPr>
        <w:t>Deve avere un'apertura di ingresso libera senza pareti divisorie o simili.</w:t>
      </w:r>
    </w:p>
    <w:p w:rsidR="0035767F" w:rsidRPr="00B63F3F" w:rsidRDefault="0035767F" w:rsidP="0035767F">
      <w:pPr>
        <w:pStyle w:val="Paragrafoelenco"/>
        <w:numPr>
          <w:ilvl w:val="0"/>
          <w:numId w:val="1"/>
        </w:numPr>
        <w:spacing w:after="0" w:line="240" w:lineRule="auto"/>
        <w:rPr>
          <w:rFonts w:eastAsia="Times New Roman" w:cs="Times New Roman"/>
          <w:lang w:eastAsia="it-IT"/>
        </w:rPr>
      </w:pPr>
      <w:r w:rsidRPr="00B63F3F">
        <w:rPr>
          <w:rFonts w:eastAsia="Times New Roman" w:cs="Times New Roman"/>
          <w:lang w:eastAsia="it-IT"/>
        </w:rPr>
        <w:t>Deve avere le luci di passaggio di grande dimensione che restano invariate durante il funzionamento</w:t>
      </w:r>
      <w:r>
        <w:rPr>
          <w:rFonts w:eastAsia="Times New Roman" w:cs="Times New Roman"/>
          <w:lang w:eastAsia="it-IT"/>
        </w:rPr>
        <w:t>.</w:t>
      </w:r>
    </w:p>
    <w:p w:rsidR="00BB594F" w:rsidRDefault="00BB594F"/>
    <w:sectPr w:rsidR="00BB59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67F" w:rsidRDefault="0035767F" w:rsidP="0035767F">
      <w:pPr>
        <w:spacing w:after="0" w:line="240" w:lineRule="auto"/>
      </w:pPr>
      <w:r>
        <w:separator/>
      </w:r>
    </w:p>
  </w:endnote>
  <w:endnote w:type="continuationSeparator" w:id="0">
    <w:p w:rsidR="0035767F" w:rsidRDefault="0035767F" w:rsidP="00357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nkGothic Lt BT">
    <w:altName w:val="MS PGothic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67F" w:rsidRDefault="0035767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92B" w:rsidRPr="00BD692B" w:rsidRDefault="00CD605A">
    <w:pPr>
      <w:pStyle w:val="Pidipagina"/>
      <w:rPr>
        <w:rFonts w:ascii="BankGothic Lt BT" w:hAnsi="BankGothic Lt BT"/>
        <w:sz w:val="20"/>
        <w:szCs w:val="20"/>
      </w:rPr>
    </w:pPr>
  </w:p>
  <w:p w:rsidR="00BD692B" w:rsidRPr="00BD692B" w:rsidRDefault="00CD605A">
    <w:pPr>
      <w:pStyle w:val="Pidipagina"/>
      <w:rPr>
        <w:rFonts w:ascii="BankGothic Lt BT" w:hAnsi="BankGothic Lt BT"/>
        <w:sz w:val="20"/>
        <w:szCs w:val="20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67F" w:rsidRDefault="0035767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67F" w:rsidRDefault="0035767F" w:rsidP="0035767F">
      <w:pPr>
        <w:spacing w:after="0" w:line="240" w:lineRule="auto"/>
      </w:pPr>
      <w:r>
        <w:separator/>
      </w:r>
    </w:p>
  </w:footnote>
  <w:footnote w:type="continuationSeparator" w:id="0">
    <w:p w:rsidR="0035767F" w:rsidRDefault="0035767F" w:rsidP="00357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67F" w:rsidRDefault="0035767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098" w:rsidRDefault="00CD605A" w:rsidP="00BD692B">
    <w:pPr>
      <w:pStyle w:val="Intestazione"/>
    </w:pPr>
  </w:p>
  <w:p w:rsidR="00BD692B" w:rsidRDefault="00CD605A" w:rsidP="00BD692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67F" w:rsidRDefault="0035767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A6872"/>
    <w:multiLevelType w:val="hybridMultilevel"/>
    <w:tmpl w:val="DF12542A"/>
    <w:lvl w:ilvl="0" w:tplc="647C54A4">
      <w:numFmt w:val="bullet"/>
      <w:lvlText w:val="•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66B"/>
    <w:rsid w:val="0035767F"/>
    <w:rsid w:val="0066369A"/>
    <w:rsid w:val="00BB594F"/>
    <w:rsid w:val="00CF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11DA2-8212-44FF-BF92-BF52691A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767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F566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576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767F"/>
  </w:style>
  <w:style w:type="paragraph" w:styleId="Pidipagina">
    <w:name w:val="footer"/>
    <w:basedOn w:val="Normale"/>
    <w:link w:val="PidipaginaCarattere"/>
    <w:uiPriority w:val="99"/>
    <w:unhideWhenUsed/>
    <w:rsid w:val="003576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767F"/>
  </w:style>
  <w:style w:type="character" w:styleId="Collegamentoipertestuale">
    <w:name w:val="Hyperlink"/>
    <w:basedOn w:val="Carpredefinitoparagrafo"/>
    <w:uiPriority w:val="99"/>
    <w:unhideWhenUsed/>
    <w:rsid w:val="0035767F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3576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4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Zarini</dc:creator>
  <cp:keywords/>
  <dc:description/>
  <cp:lastModifiedBy>Massimo Zarini</cp:lastModifiedBy>
  <cp:revision>2</cp:revision>
  <dcterms:created xsi:type="dcterms:W3CDTF">2021-07-23T13:51:00Z</dcterms:created>
  <dcterms:modified xsi:type="dcterms:W3CDTF">2021-07-23T13:51:00Z</dcterms:modified>
</cp:coreProperties>
</file>